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95DA1" w14:textId="42BF9527" w:rsidR="008C6CC1" w:rsidRDefault="005E68CD" w:rsidP="00201F97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AC9E36A" wp14:editId="77C4A544">
            <wp:extent cx="6300470" cy="3367405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0D86" w14:textId="77777777" w:rsidR="006F7B35" w:rsidRPr="005F2428" w:rsidRDefault="006F7B35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b/>
          <w:bCs/>
          <w:sz w:val="28"/>
          <w:szCs w:val="28"/>
          <w:lang w:val="en-US" w:eastAsia="de-CH"/>
        </w:rPr>
      </w:pPr>
      <w:r w:rsidRPr="005F2428">
        <w:rPr>
          <w:rFonts w:ascii="Georgia" w:hAnsi="Georgia" w:cs="Arial"/>
          <w:b/>
          <w:bCs/>
          <w:sz w:val="28"/>
          <w:szCs w:val="28"/>
          <w:lang w:val="en-US" w:eastAsia="de-CH"/>
        </w:rPr>
        <w:t>Call for Papers</w:t>
      </w:r>
    </w:p>
    <w:p w14:paraId="42C38EDE" w14:textId="46ECA5B4" w:rsidR="006F7B35" w:rsidRPr="006F7B35" w:rsidRDefault="005E68CD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Maastricht Observatory for Responsible, Resilient and Sustainable Societies, Economies and Enterprises</w:t>
      </w:r>
    </w:p>
    <w:p w14:paraId="47159D71" w14:textId="299306BB" w:rsidR="006F7B35" w:rsidRDefault="005E68CD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3rd</w:t>
      </w:r>
      <w:r w:rsidR="006F7B35" w:rsidRPr="006F7B35">
        <w:rPr>
          <w:rFonts w:ascii="Georgia" w:hAnsi="Georgia" w:cs="Arial"/>
          <w:sz w:val="21"/>
          <w:szCs w:val="21"/>
          <w:lang w:val="en-US" w:eastAsia="de-CH"/>
        </w:rPr>
        <w:t xml:space="preserve"> Annual Conference 20</w:t>
      </w:r>
      <w:r w:rsidR="006E7649">
        <w:rPr>
          <w:rFonts w:ascii="Georgia" w:hAnsi="Georgia" w:cs="Arial"/>
          <w:sz w:val="21"/>
          <w:szCs w:val="21"/>
          <w:lang w:val="en-US" w:eastAsia="de-CH"/>
        </w:rPr>
        <w:t>2</w:t>
      </w:r>
      <w:r>
        <w:rPr>
          <w:rFonts w:ascii="Georgia" w:hAnsi="Georgia" w:cs="Arial"/>
          <w:sz w:val="21"/>
          <w:szCs w:val="21"/>
          <w:lang w:val="en-US" w:eastAsia="de-CH"/>
        </w:rPr>
        <w:t>3</w:t>
      </w:r>
    </w:p>
    <w:p w14:paraId="1749C610" w14:textId="59195AC9" w:rsidR="00201F97" w:rsidRPr="00641444" w:rsidRDefault="00201F97" w:rsidP="00201F97">
      <w:pPr>
        <w:pBdr>
          <w:between w:val="single" w:sz="4" w:space="1" w:color="44546A" w:themeColor="text2"/>
        </w:pBdr>
        <w:tabs>
          <w:tab w:val="left" w:pos="284"/>
        </w:tabs>
        <w:jc w:val="center"/>
        <w:rPr>
          <w:rFonts w:ascii="Georgia" w:hAnsi="Georgia" w:cs="Arial"/>
          <w:b/>
          <w:sz w:val="30"/>
          <w:szCs w:val="30"/>
          <w:lang w:val="en-US" w:eastAsia="de-CH"/>
        </w:rPr>
      </w:pPr>
      <w:r w:rsidRPr="00641444">
        <w:rPr>
          <w:rFonts w:ascii="Georgia" w:hAnsi="Georgia" w:cs="Arial"/>
          <w:b/>
          <w:sz w:val="30"/>
          <w:szCs w:val="30"/>
          <w:lang w:val="en-US" w:eastAsia="de-CH"/>
        </w:rPr>
        <w:t xml:space="preserve">Track: </w:t>
      </w:r>
      <w:r w:rsidR="009A6BDE">
        <w:rPr>
          <w:rFonts w:ascii="Georgia" w:hAnsi="Georgia" w:cs="Arial"/>
          <w:b/>
          <w:sz w:val="30"/>
          <w:szCs w:val="30"/>
          <w:lang w:val="en-US" w:eastAsia="de-CH"/>
        </w:rPr>
        <w:t>Circular Business Models</w:t>
      </w:r>
    </w:p>
    <w:p w14:paraId="241E2058" w14:textId="755BABA4" w:rsidR="005F2428" w:rsidRPr="00641444" w:rsidRDefault="005F2428" w:rsidP="005F2428">
      <w:pPr>
        <w:tabs>
          <w:tab w:val="left" w:pos="284"/>
        </w:tabs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 xml:space="preserve">Maastricht, 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the Netherlands, 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3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>-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5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 October 20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3</w:t>
      </w:r>
    </w:p>
    <w:p w14:paraId="5E8F6C5D" w14:textId="77777777" w:rsidR="006F7B35" w:rsidRDefault="006F7B35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</w:p>
    <w:p w14:paraId="3A26F1ED" w14:textId="70649AB1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Track Chairs: </w:t>
      </w:r>
    </w:p>
    <w:p w14:paraId="031BF235" w14:textId="088BA806" w:rsidR="00F90219" w:rsidRPr="00641444" w:rsidRDefault="00230084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bookmarkStart w:id="1" w:name="_Hlk65490834"/>
      <w:r>
        <w:rPr>
          <w:rFonts w:ascii="Georgia" w:hAnsi="Georgia" w:cs="Arial"/>
          <w:sz w:val="22"/>
          <w:szCs w:val="22"/>
          <w:lang w:val="en-GB"/>
        </w:rPr>
        <w:t>Laura Niessen, Julia Smid</w:t>
      </w:r>
      <w:r w:rsidR="0020044B">
        <w:rPr>
          <w:rFonts w:ascii="Georgia" w:hAnsi="Georgia" w:cs="Arial"/>
          <w:sz w:val="22"/>
          <w:szCs w:val="22"/>
          <w:lang w:val="en-GB"/>
        </w:rPr>
        <w:t xml:space="preserve"> and Clarence Bluntz</w:t>
      </w:r>
    </w:p>
    <w:bookmarkEnd w:id="1"/>
    <w:p w14:paraId="62279E50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24F152B6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Description of the track </w:t>
      </w:r>
    </w:p>
    <w:p w14:paraId="145CD751" w14:textId="67B22883" w:rsidR="00CC0E85" w:rsidRDefault="00CC0E85" w:rsidP="00CC0E85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 xml:space="preserve">The circular </w:t>
      </w:r>
      <w:r w:rsidR="00292C15">
        <w:rPr>
          <w:rFonts w:ascii="Georgia" w:hAnsi="Georgia" w:cs="Arial"/>
          <w:sz w:val="22"/>
          <w:szCs w:val="22"/>
          <w:lang w:val="en-GB"/>
        </w:rPr>
        <w:t>economy i</w:t>
      </w:r>
      <w:r w:rsidRPr="00CC0E85">
        <w:rPr>
          <w:rFonts w:ascii="Georgia" w:hAnsi="Georgia" w:cs="Arial"/>
          <w:sz w:val="22"/>
          <w:szCs w:val="22"/>
          <w:lang w:val="en-GB"/>
        </w:rPr>
        <w:t>s gain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ing traction, with governments 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and business </w:t>
      </w:r>
      <w:r w:rsidR="00292C15">
        <w:rPr>
          <w:rFonts w:ascii="Georgia" w:hAnsi="Georgia" w:cs="Arial"/>
          <w:sz w:val="22"/>
          <w:szCs w:val="22"/>
          <w:lang w:val="en-GB"/>
        </w:rPr>
        <w:t>implementing it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to bring about environmental sustainability, job creation or economic growth. 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In a circular economy, </w:t>
      </w:r>
      <w:r w:rsidRPr="00CC0E85">
        <w:rPr>
          <w:rFonts w:ascii="Georgia" w:hAnsi="Georgia" w:cs="Arial"/>
          <w:sz w:val="22"/>
          <w:szCs w:val="22"/>
          <w:lang w:val="en-GB"/>
        </w:rPr>
        <w:t>natural capital is preserved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 by keeping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products and materials </w:t>
      </w:r>
      <w:r w:rsidR="00292C15">
        <w:rPr>
          <w:rFonts w:ascii="Georgia" w:hAnsi="Georgia" w:cs="Arial"/>
          <w:sz w:val="22"/>
          <w:szCs w:val="22"/>
          <w:lang w:val="en-GB"/>
        </w:rPr>
        <w:t>in use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and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 removing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wa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stes and negative externalities. 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Companies play a pivotal role in bringing about circular resource flows. </w:t>
      </w:r>
      <w:r w:rsidR="00292C15">
        <w:rPr>
          <w:rFonts w:ascii="Georgia" w:hAnsi="Georgia" w:cs="Arial"/>
          <w:sz w:val="22"/>
          <w:szCs w:val="22"/>
          <w:lang w:val="en-GB"/>
        </w:rPr>
        <w:t>T</w:t>
      </w:r>
      <w:r w:rsidRPr="00CC0E85">
        <w:rPr>
          <w:rFonts w:ascii="Georgia" w:hAnsi="Georgia" w:cs="Arial"/>
          <w:sz w:val="22"/>
          <w:szCs w:val="22"/>
          <w:lang w:val="en-GB"/>
        </w:rPr>
        <w:t>hey can decide to change their processes from the current linear make-take-dispose system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 to a circular system that retains value</w:t>
      </w:r>
      <w:r w:rsidRPr="00CC0E85">
        <w:rPr>
          <w:rFonts w:ascii="Georgia" w:hAnsi="Georgia" w:cs="Arial"/>
          <w:sz w:val="22"/>
          <w:szCs w:val="22"/>
          <w:lang w:val="en-GB"/>
        </w:rPr>
        <w:t>. By cycling resources, extending lifetimes and intensifying product use, businesses can create income opportunities while reducing resource use and wastage. To do so, they can adapt a</w:t>
      </w:r>
      <w:r w:rsidR="001F47C6">
        <w:rPr>
          <w:rFonts w:ascii="Georgia" w:hAnsi="Georgia" w:cs="Arial"/>
          <w:sz w:val="22"/>
          <w:szCs w:val="22"/>
          <w:lang w:val="en-GB"/>
        </w:rPr>
        <w:t xml:space="preserve"> circular business model</w:t>
      </w:r>
      <w:r w:rsidR="00292C15">
        <w:rPr>
          <w:rFonts w:ascii="Georgia" w:hAnsi="Georgia" w:cs="Arial"/>
          <w:sz w:val="22"/>
          <w:szCs w:val="22"/>
          <w:lang w:val="en-GB"/>
        </w:rPr>
        <w:t>.</w:t>
      </w:r>
    </w:p>
    <w:p w14:paraId="35000602" w14:textId="1B2DAA36" w:rsidR="00CC0E85" w:rsidRDefault="00CC0E85" w:rsidP="00CC0E85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>Circular business models can reduce the environmental impact of businesses</w:t>
      </w:r>
      <w:r w:rsidR="0020044B">
        <w:rPr>
          <w:rFonts w:ascii="Georgia" w:hAnsi="Georgia" w:cs="Arial"/>
          <w:sz w:val="22"/>
          <w:szCs w:val="22"/>
          <w:lang w:val="en-GB"/>
        </w:rPr>
        <w:t>, their suppliers,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and their consumers through retaining value for longer. Pillars for business </w:t>
      </w:r>
      <w:r w:rsidR="0020044B" w:rsidRPr="00CC0E85">
        <w:rPr>
          <w:rFonts w:ascii="Georgia" w:hAnsi="Georgia" w:cs="Arial"/>
          <w:sz w:val="22"/>
          <w:szCs w:val="22"/>
          <w:lang w:val="en-GB"/>
        </w:rPr>
        <w:t>circula</w:t>
      </w:r>
      <w:r w:rsidR="0020044B">
        <w:rPr>
          <w:rFonts w:ascii="Georgia" w:hAnsi="Georgia" w:cs="Arial"/>
          <w:sz w:val="22"/>
          <w:szCs w:val="22"/>
          <w:lang w:val="en-GB"/>
        </w:rPr>
        <w:t>rity</w:t>
      </w:r>
      <w:r w:rsidR="0020044B" w:rsidRPr="00CC0E85">
        <w:rPr>
          <w:rFonts w:ascii="Georgia" w:hAnsi="Georgia" w:cs="Arial"/>
          <w:sz w:val="22"/>
          <w:szCs w:val="22"/>
          <w:lang w:val="en-GB"/>
        </w:rPr>
        <w:t xml:space="preserve"> </w:t>
      </w:r>
      <w:r w:rsidRPr="00CC0E85">
        <w:rPr>
          <w:rFonts w:ascii="Georgia" w:hAnsi="Georgia" w:cs="Arial"/>
          <w:sz w:val="22"/>
          <w:szCs w:val="22"/>
          <w:lang w:val="en-GB"/>
        </w:rPr>
        <w:t>include narrowing, slowing, closing and re</w:t>
      </w:r>
      <w:r>
        <w:rPr>
          <w:rFonts w:ascii="Georgia" w:hAnsi="Georgia" w:cs="Arial"/>
          <w:sz w:val="22"/>
          <w:szCs w:val="22"/>
          <w:lang w:val="en-GB"/>
        </w:rPr>
        <w:t>generating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 loops</w:t>
      </w:r>
      <w:r>
        <w:rPr>
          <w:rFonts w:ascii="Georgia" w:hAnsi="Georgia" w:cs="Arial"/>
          <w:sz w:val="22"/>
          <w:szCs w:val="22"/>
          <w:lang w:val="en-GB"/>
        </w:rPr>
        <w:t>. Narrowing includes efficiency and process improvements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, while slowing refers to keeping products in use for longer. Both pillars 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also 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promote sufficiency in consumer behaviours. Closing refers to cycling resources after their use to ensure the materials value is retained. Regenerating means addressing existing degradation </w:t>
      </w:r>
      <w:r w:rsidR="00292C15">
        <w:rPr>
          <w:rFonts w:ascii="Georgia" w:hAnsi="Georgia" w:cs="Arial"/>
          <w:sz w:val="22"/>
          <w:szCs w:val="22"/>
          <w:lang w:val="en-GB"/>
        </w:rPr>
        <w:t>by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rebuild</w:t>
      </w:r>
      <w:r w:rsidR="00292C15">
        <w:rPr>
          <w:rFonts w:ascii="Georgia" w:hAnsi="Georgia" w:cs="Arial"/>
          <w:sz w:val="22"/>
          <w:szCs w:val="22"/>
          <w:lang w:val="en-GB"/>
        </w:rPr>
        <w:t>ing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environmental and social capacities.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 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Through strategies such as the 9-Rs (reduce, rethink, reuse, etc.), businesses can move from a linear to a circular business model. </w:t>
      </w:r>
      <w:r w:rsidR="0025425B" w:rsidRPr="0025425B">
        <w:rPr>
          <w:rFonts w:ascii="Georgia" w:hAnsi="Georgia" w:cs="Arial"/>
          <w:sz w:val="22"/>
          <w:szCs w:val="22"/>
          <w:lang w:val="en-GB"/>
        </w:rPr>
        <w:t>Moreover, th</w:t>
      </w:r>
      <w:r w:rsidR="0025425B">
        <w:rPr>
          <w:rFonts w:ascii="Georgia" w:hAnsi="Georgia" w:cs="Arial"/>
          <w:sz w:val="22"/>
          <w:szCs w:val="22"/>
          <w:lang w:val="en-GB"/>
        </w:rPr>
        <w:t>r</w:t>
      </w:r>
      <w:r w:rsidR="0025425B" w:rsidRPr="0025425B">
        <w:rPr>
          <w:rFonts w:ascii="Georgia" w:hAnsi="Georgia" w:cs="Arial"/>
          <w:sz w:val="22"/>
          <w:szCs w:val="22"/>
          <w:lang w:val="en-GB"/>
        </w:rPr>
        <w:t xml:space="preserve">ough </w:t>
      </w:r>
      <w:r w:rsidR="0025425B">
        <w:rPr>
          <w:rFonts w:ascii="Georgia" w:hAnsi="Georgia" w:cs="Arial"/>
          <w:sz w:val="22"/>
          <w:szCs w:val="22"/>
          <w:lang w:val="en-GB"/>
        </w:rPr>
        <w:t xml:space="preserve">supply chain collaboration, </w:t>
      </w:r>
      <w:r w:rsidR="0025425B" w:rsidRPr="0025425B">
        <w:rPr>
          <w:rFonts w:ascii="Georgia" w:hAnsi="Georgia" w:cs="Arial"/>
          <w:sz w:val="22"/>
          <w:szCs w:val="22"/>
          <w:lang w:val="en-GB"/>
        </w:rPr>
        <w:t>an industry’s supply chain can be reconfigured, which means circularity can b</w:t>
      </w:r>
      <w:r w:rsidR="0025425B">
        <w:rPr>
          <w:rFonts w:ascii="Georgia" w:hAnsi="Georgia" w:cs="Arial"/>
          <w:sz w:val="22"/>
          <w:szCs w:val="22"/>
          <w:lang w:val="en-GB"/>
        </w:rPr>
        <w:t xml:space="preserve">e achieved on an industry scale. 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Experimentation with circular business models and circular pilots are </w:t>
      </w:r>
      <w:r w:rsidR="00292C15">
        <w:rPr>
          <w:rFonts w:ascii="Georgia" w:hAnsi="Georgia" w:cs="Arial"/>
          <w:sz w:val="22"/>
          <w:szCs w:val="22"/>
          <w:lang w:val="en-GB"/>
        </w:rPr>
        <w:t>increasingly popular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, as are </w:t>
      </w:r>
      <w:r w:rsidR="00292C15">
        <w:rPr>
          <w:rFonts w:ascii="Georgia" w:hAnsi="Georgia" w:cs="Arial"/>
          <w:sz w:val="22"/>
          <w:szCs w:val="22"/>
          <w:lang w:val="en-GB"/>
        </w:rPr>
        <w:t>established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circular offers. Yet, there are </w:t>
      </w:r>
      <w:r w:rsidR="0020044B">
        <w:rPr>
          <w:rFonts w:ascii="Georgia" w:hAnsi="Georgia" w:cs="Arial"/>
          <w:sz w:val="22"/>
          <w:szCs w:val="22"/>
          <w:lang w:val="en-GB"/>
        </w:rPr>
        <w:t xml:space="preserve">many 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remaining questions around </w:t>
      </w:r>
      <w:r w:rsidR="00292C15">
        <w:rPr>
          <w:rFonts w:ascii="Georgia" w:hAnsi="Georgia" w:cs="Arial"/>
          <w:sz w:val="22"/>
          <w:szCs w:val="22"/>
          <w:lang w:val="en-GB"/>
        </w:rPr>
        <w:t xml:space="preserve">the future of 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circular business models that need to be </w:t>
      </w:r>
      <w:r w:rsidR="00292C15">
        <w:rPr>
          <w:rFonts w:ascii="Georgia" w:hAnsi="Georgia" w:cs="Arial"/>
          <w:sz w:val="22"/>
          <w:szCs w:val="22"/>
          <w:lang w:val="en-GB"/>
        </w:rPr>
        <w:t>addressed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by research</w:t>
      </w:r>
      <w:r w:rsidR="00292C15">
        <w:rPr>
          <w:rFonts w:ascii="Georgia" w:hAnsi="Georgia" w:cs="Arial"/>
          <w:sz w:val="22"/>
          <w:szCs w:val="22"/>
          <w:lang w:val="en-GB"/>
        </w:rPr>
        <w:t>.</w:t>
      </w:r>
    </w:p>
    <w:p w14:paraId="2DF1ABA8" w14:textId="77777777" w:rsidR="00CC0E85" w:rsidRDefault="00CC0E85" w:rsidP="00CC0E85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0E80F6EB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Key topics and research questions of the track </w:t>
      </w:r>
    </w:p>
    <w:p w14:paraId="048D4EEC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48749DB7" w14:textId="4BF82577" w:rsidR="00FB6816" w:rsidRDefault="00FB6816" w:rsidP="00F90219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Key topics include</w:t>
      </w:r>
      <w:r w:rsidR="0020044B">
        <w:rPr>
          <w:rFonts w:ascii="Georgia" w:hAnsi="Georgia" w:cs="Arial"/>
          <w:sz w:val="22"/>
          <w:szCs w:val="22"/>
          <w:lang w:val="en-GB"/>
        </w:rPr>
        <w:t>, but are not limited to</w:t>
      </w:r>
      <w:r>
        <w:rPr>
          <w:rFonts w:ascii="Georgia" w:hAnsi="Georgia" w:cs="Arial"/>
          <w:sz w:val="22"/>
          <w:szCs w:val="22"/>
          <w:lang w:val="en-GB"/>
        </w:rPr>
        <w:t>:</w:t>
      </w:r>
    </w:p>
    <w:p w14:paraId="24B09E27" w14:textId="37D39C62" w:rsidR="00E635FD" w:rsidRDefault="00CC0E85" w:rsidP="00CC0E85">
      <w:pPr>
        <w:pStyle w:val="ListParagraph"/>
        <w:numPr>
          <w:ilvl w:val="1"/>
          <w:numId w:val="2"/>
        </w:numPr>
        <w:spacing w:line="240" w:lineRule="auto"/>
        <w:rPr>
          <w:rFonts w:ascii="Georgia" w:hAnsi="Georgia" w:cs="Arial"/>
          <w:color w:val="000000"/>
          <w:lang w:val="en-GB"/>
        </w:rPr>
      </w:pPr>
      <w:r>
        <w:rPr>
          <w:rFonts w:ascii="Georgia" w:hAnsi="Georgia" w:cs="Arial"/>
          <w:color w:val="000000"/>
          <w:lang w:val="en-GB"/>
        </w:rPr>
        <w:lastRenderedPageBreak/>
        <w:t>Circular business model implementation and scaling</w:t>
      </w:r>
    </w:p>
    <w:p w14:paraId="4C233CC8" w14:textId="71CAB195" w:rsidR="00CC0E85" w:rsidRDefault="00CC0E85" w:rsidP="00CC0E85">
      <w:pPr>
        <w:pStyle w:val="ListParagraph"/>
        <w:numPr>
          <w:ilvl w:val="1"/>
          <w:numId w:val="2"/>
        </w:numPr>
        <w:spacing w:line="240" w:lineRule="auto"/>
        <w:rPr>
          <w:rFonts w:ascii="Georgia" w:hAnsi="Georgia" w:cs="Arial"/>
          <w:color w:val="000000"/>
          <w:lang w:val="en-GB"/>
        </w:rPr>
      </w:pPr>
      <w:r>
        <w:rPr>
          <w:rFonts w:ascii="Georgia" w:hAnsi="Georgia" w:cs="Arial"/>
          <w:color w:val="000000"/>
          <w:lang w:val="en-GB"/>
        </w:rPr>
        <w:t>Sufficiency</w:t>
      </w:r>
      <w:r w:rsidR="0020044B">
        <w:rPr>
          <w:rFonts w:ascii="Georgia" w:hAnsi="Georgia" w:cs="Arial"/>
          <w:color w:val="000000"/>
          <w:lang w:val="en-GB"/>
        </w:rPr>
        <w:t xml:space="preserve">, regenerative, degrowth and post-growth </w:t>
      </w:r>
      <w:r>
        <w:rPr>
          <w:rFonts w:ascii="Georgia" w:hAnsi="Georgia" w:cs="Arial"/>
          <w:color w:val="000000"/>
          <w:lang w:val="en-GB"/>
        </w:rPr>
        <w:t>business models</w:t>
      </w:r>
    </w:p>
    <w:p w14:paraId="77606DE4" w14:textId="7A19648A" w:rsidR="00CC0E85" w:rsidRPr="00E635FD" w:rsidRDefault="00CC0E85" w:rsidP="00CC0E85">
      <w:pPr>
        <w:pStyle w:val="ListParagraph"/>
        <w:numPr>
          <w:ilvl w:val="1"/>
          <w:numId w:val="2"/>
        </w:numPr>
        <w:spacing w:line="240" w:lineRule="auto"/>
        <w:rPr>
          <w:rFonts w:ascii="Georgia" w:hAnsi="Georgia" w:cs="Arial"/>
          <w:color w:val="000000"/>
          <w:lang w:val="en-GB"/>
        </w:rPr>
      </w:pPr>
      <w:r>
        <w:rPr>
          <w:rFonts w:ascii="Georgia" w:hAnsi="Georgia" w:cs="Arial"/>
          <w:color w:val="000000"/>
          <w:lang w:val="en-GB"/>
        </w:rPr>
        <w:t>Circularity along the value chain</w:t>
      </w:r>
    </w:p>
    <w:p w14:paraId="3B16967D" w14:textId="77777777" w:rsidR="00E635FD" w:rsidRDefault="00E635FD" w:rsidP="00E635FD">
      <w:pPr>
        <w:pStyle w:val="Default"/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</w:p>
    <w:p w14:paraId="20F4AB25" w14:textId="248C4EA8" w:rsidR="00FB6816" w:rsidRDefault="00FB6816" w:rsidP="00FB6816">
      <w:pPr>
        <w:pStyle w:val="Default"/>
        <w:numPr>
          <w:ilvl w:val="0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Key questions include</w:t>
      </w:r>
      <w:r w:rsidR="0020044B">
        <w:rPr>
          <w:rFonts w:ascii="Georgia" w:hAnsi="Georgia" w:cs="Arial"/>
          <w:sz w:val="22"/>
          <w:szCs w:val="22"/>
          <w:lang w:val="en-GB"/>
        </w:rPr>
        <w:t>, but are not limited to</w:t>
      </w:r>
      <w:r>
        <w:rPr>
          <w:rFonts w:ascii="Georgia" w:hAnsi="Georgia" w:cs="Arial"/>
          <w:sz w:val="22"/>
          <w:szCs w:val="22"/>
          <w:lang w:val="en-GB"/>
        </w:rPr>
        <w:t>:</w:t>
      </w:r>
    </w:p>
    <w:p w14:paraId="12FBE298" w14:textId="0FBBB12F" w:rsidR="00CC0E85" w:rsidRPr="00CC0E85" w:rsidRDefault="00CC0E85" w:rsidP="00CC0E85">
      <w:pPr>
        <w:pStyle w:val="Default"/>
        <w:numPr>
          <w:ilvl w:val="1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>Which change processes are required in a business, in an economy and by government and consumers to facilitate the implementation and uptake of circular business models?</w:t>
      </w:r>
    </w:p>
    <w:p w14:paraId="64308C9A" w14:textId="4AE20435" w:rsidR="00CC0E85" w:rsidRPr="00CC0E85" w:rsidRDefault="00CC0E85" w:rsidP="00CC0E85">
      <w:pPr>
        <w:pStyle w:val="Default"/>
        <w:numPr>
          <w:ilvl w:val="1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 xml:space="preserve">What </w:t>
      </w:r>
      <w:r w:rsidR="0020044B">
        <w:rPr>
          <w:rFonts w:ascii="Georgia" w:hAnsi="Georgia" w:cs="Arial"/>
          <w:sz w:val="22"/>
          <w:szCs w:val="22"/>
          <w:lang w:val="en-GB"/>
        </w:rPr>
        <w:t>are</w:t>
      </w:r>
      <w:r w:rsidR="0020044B" w:rsidRPr="00CC0E85">
        <w:rPr>
          <w:rFonts w:ascii="Georgia" w:hAnsi="Georgia" w:cs="Arial"/>
          <w:sz w:val="22"/>
          <w:szCs w:val="22"/>
          <w:lang w:val="en-GB"/>
        </w:rPr>
        <w:t xml:space="preserve"> </w:t>
      </w:r>
      <w:r w:rsidRPr="00CC0E85">
        <w:rPr>
          <w:rFonts w:ascii="Georgia" w:hAnsi="Georgia" w:cs="Arial"/>
          <w:sz w:val="22"/>
          <w:szCs w:val="22"/>
          <w:lang w:val="en-GB"/>
        </w:rPr>
        <w:t>the</w:t>
      </w:r>
      <w:r w:rsidR="0020044B">
        <w:rPr>
          <w:rFonts w:ascii="Georgia" w:hAnsi="Georgia" w:cs="Arial"/>
          <w:sz w:val="22"/>
          <w:szCs w:val="22"/>
          <w:lang w:val="en-GB"/>
        </w:rPr>
        <w:t xml:space="preserve"> actual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impact</w:t>
      </w:r>
      <w:r w:rsidR="0020044B">
        <w:rPr>
          <w:rFonts w:ascii="Georgia" w:hAnsi="Georgia" w:cs="Arial"/>
          <w:sz w:val="22"/>
          <w:szCs w:val="22"/>
          <w:lang w:val="en-GB"/>
        </w:rPr>
        <w:t>s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 of circular business models, on the environment and on society? How </w:t>
      </w:r>
      <w:r w:rsidR="0020044B">
        <w:rPr>
          <w:rFonts w:ascii="Georgia" w:hAnsi="Georgia" w:cs="Arial"/>
          <w:sz w:val="22"/>
          <w:szCs w:val="22"/>
          <w:lang w:val="en-GB"/>
        </w:rPr>
        <w:t>can these impacts be measured and compared</w:t>
      </w:r>
      <w:r w:rsidRPr="00CC0E85">
        <w:rPr>
          <w:rFonts w:ascii="Georgia" w:hAnsi="Georgia" w:cs="Arial"/>
          <w:sz w:val="22"/>
          <w:szCs w:val="22"/>
          <w:lang w:val="en-GB"/>
        </w:rPr>
        <w:t>?</w:t>
      </w:r>
    </w:p>
    <w:p w14:paraId="358ED04E" w14:textId="5C89BB01" w:rsidR="00CC0E85" w:rsidRPr="00CC0E85" w:rsidRDefault="00CC0E85" w:rsidP="00CC0E85">
      <w:pPr>
        <w:pStyle w:val="Default"/>
        <w:numPr>
          <w:ilvl w:val="1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>How to best implement and scale circular business models?</w:t>
      </w:r>
    </w:p>
    <w:p w14:paraId="42DA0A71" w14:textId="3A3633EA" w:rsidR="00CC0E85" w:rsidRPr="00CC0E85" w:rsidRDefault="00CC0E85" w:rsidP="00CC0E85">
      <w:pPr>
        <w:pStyle w:val="Default"/>
        <w:numPr>
          <w:ilvl w:val="1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>How to integrate the sufficiency pillar into circular business models and promote sustainable consumption</w:t>
      </w:r>
      <w:r w:rsidR="0020044B">
        <w:rPr>
          <w:rFonts w:ascii="Georgia" w:hAnsi="Georgia" w:cs="Arial"/>
          <w:sz w:val="22"/>
          <w:szCs w:val="22"/>
          <w:lang w:val="en-GB"/>
        </w:rPr>
        <w:t xml:space="preserve"> or decrease in consumption</w:t>
      </w:r>
      <w:r w:rsidRPr="00CC0E85">
        <w:rPr>
          <w:rFonts w:ascii="Georgia" w:hAnsi="Georgia" w:cs="Arial"/>
          <w:sz w:val="22"/>
          <w:szCs w:val="22"/>
          <w:lang w:val="en-GB"/>
        </w:rPr>
        <w:t>?</w:t>
      </w:r>
    </w:p>
    <w:p w14:paraId="41CF5D2E" w14:textId="2F7952B4" w:rsidR="00CC0E85" w:rsidRPr="00CC0E85" w:rsidRDefault="00CC0E85" w:rsidP="00CC0E85">
      <w:pPr>
        <w:pStyle w:val="Default"/>
        <w:numPr>
          <w:ilvl w:val="1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>How to integrate the regeneration pillar into circular business models and ensure that business</w:t>
      </w:r>
      <w:r w:rsidR="0020044B">
        <w:rPr>
          <w:rFonts w:ascii="Georgia" w:hAnsi="Georgia" w:cs="Arial"/>
          <w:sz w:val="22"/>
          <w:szCs w:val="22"/>
          <w:lang w:val="en-GB"/>
        </w:rPr>
        <w:t xml:space="preserve">es increase positive impact </w:t>
      </w:r>
      <w:r w:rsidRPr="00CC0E85">
        <w:rPr>
          <w:rFonts w:ascii="Georgia" w:hAnsi="Georgia" w:cs="Arial"/>
          <w:sz w:val="22"/>
          <w:szCs w:val="22"/>
          <w:lang w:val="en-GB"/>
        </w:rPr>
        <w:t xml:space="preserve">rather than </w:t>
      </w:r>
      <w:r w:rsidR="0020044B">
        <w:rPr>
          <w:rFonts w:ascii="Georgia" w:hAnsi="Georgia" w:cs="Arial"/>
          <w:sz w:val="22"/>
          <w:szCs w:val="22"/>
          <w:lang w:val="en-GB"/>
        </w:rPr>
        <w:t>decrease negative impact</w:t>
      </w:r>
      <w:r w:rsidRPr="00CC0E85">
        <w:rPr>
          <w:rFonts w:ascii="Georgia" w:hAnsi="Georgia" w:cs="Arial"/>
          <w:sz w:val="22"/>
          <w:szCs w:val="22"/>
          <w:lang w:val="en-GB"/>
        </w:rPr>
        <w:t>?</w:t>
      </w:r>
    </w:p>
    <w:p w14:paraId="4B36762B" w14:textId="3715325D" w:rsidR="00CC0E85" w:rsidRPr="00CC0E85" w:rsidRDefault="00CC0E85" w:rsidP="00CC0E85">
      <w:pPr>
        <w:pStyle w:val="Default"/>
        <w:numPr>
          <w:ilvl w:val="1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>What is the role of circular business models in transitioning towards a degrowth or post growth economy?</w:t>
      </w:r>
    </w:p>
    <w:p w14:paraId="03601BE7" w14:textId="0B65A0BF" w:rsidR="00CC0E85" w:rsidRPr="00CC0E85" w:rsidRDefault="00CC0E85" w:rsidP="00CC0E85">
      <w:pPr>
        <w:pStyle w:val="Default"/>
        <w:numPr>
          <w:ilvl w:val="1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>How to implement circular business models throughout the value chain, for instance with suppliers?</w:t>
      </w:r>
    </w:p>
    <w:p w14:paraId="191B1CF3" w14:textId="5E9BC7FB" w:rsidR="00CC0E85" w:rsidRPr="00CC0E85" w:rsidRDefault="00CC0E85" w:rsidP="00CC0E85">
      <w:pPr>
        <w:pStyle w:val="Default"/>
        <w:numPr>
          <w:ilvl w:val="1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 w:rsidRPr="00CC0E85">
        <w:rPr>
          <w:rFonts w:ascii="Georgia" w:hAnsi="Georgia" w:cs="Arial"/>
          <w:sz w:val="22"/>
          <w:szCs w:val="22"/>
          <w:lang w:val="en-GB"/>
        </w:rPr>
        <w:t xml:space="preserve">How are circular business models perceived by customers and how can uptake be </w:t>
      </w:r>
      <w:r>
        <w:rPr>
          <w:rFonts w:ascii="Georgia" w:hAnsi="Georgia" w:cs="Arial"/>
          <w:sz w:val="22"/>
          <w:szCs w:val="22"/>
          <w:lang w:val="en-GB"/>
        </w:rPr>
        <w:t>p</w:t>
      </w:r>
      <w:r w:rsidRPr="00CC0E85">
        <w:rPr>
          <w:rFonts w:ascii="Georgia" w:hAnsi="Georgia" w:cs="Arial"/>
          <w:sz w:val="22"/>
          <w:szCs w:val="22"/>
          <w:lang w:val="en-GB"/>
        </w:rPr>
        <w:t>romoted?</w:t>
      </w:r>
    </w:p>
    <w:p w14:paraId="02B0CC92" w14:textId="4010CF7D" w:rsidR="00201F97" w:rsidRDefault="00CC0E85" w:rsidP="00CC0E85">
      <w:pPr>
        <w:pStyle w:val="Default"/>
        <w:numPr>
          <w:ilvl w:val="1"/>
          <w:numId w:val="2"/>
        </w:numPr>
        <w:spacing w:after="120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H</w:t>
      </w:r>
      <w:r w:rsidRPr="00CC0E85">
        <w:rPr>
          <w:rFonts w:ascii="Georgia" w:hAnsi="Georgia" w:cs="Arial"/>
          <w:sz w:val="22"/>
          <w:szCs w:val="22"/>
          <w:lang w:val="en-GB"/>
        </w:rPr>
        <w:t>ow can digitalisation support the implementation and scaling of circular business models?</w:t>
      </w:r>
    </w:p>
    <w:p w14:paraId="5FF4D4D6" w14:textId="77777777" w:rsidR="00A80764" w:rsidRDefault="00A80764" w:rsidP="00A80764">
      <w:pPr>
        <w:pStyle w:val="Default"/>
        <w:spacing w:after="120"/>
        <w:ind w:left="1440"/>
        <w:jc w:val="both"/>
        <w:rPr>
          <w:rFonts w:ascii="Georgia" w:hAnsi="Georgia" w:cs="Arial"/>
          <w:sz w:val="22"/>
          <w:szCs w:val="22"/>
          <w:lang w:val="en-GB"/>
        </w:rPr>
      </w:pPr>
    </w:p>
    <w:p w14:paraId="5149D6CF" w14:textId="30937D51" w:rsidR="00201F97" w:rsidRDefault="00201F97" w:rsidP="005E68CD">
      <w:pPr>
        <w:rPr>
          <w:rFonts w:ascii="Georgia" w:hAnsi="Georgia" w:cs="Arial"/>
          <w:b/>
          <w:lang w:val="en-GB"/>
        </w:rPr>
      </w:pPr>
      <w:r w:rsidRPr="00570415">
        <w:rPr>
          <w:rFonts w:ascii="Georgia" w:hAnsi="Georgia" w:cs="Arial"/>
          <w:b/>
          <w:lang w:val="en-GB"/>
        </w:rPr>
        <w:t>References</w:t>
      </w:r>
      <w:r w:rsidR="00F90219">
        <w:rPr>
          <w:rFonts w:ascii="Georgia" w:hAnsi="Georgia" w:cs="Arial"/>
          <w:b/>
          <w:lang w:val="en-GB"/>
        </w:rPr>
        <w:t>:</w:t>
      </w:r>
    </w:p>
    <w:p w14:paraId="615B8E65" w14:textId="72A9C9C8" w:rsidR="00A80764" w:rsidRPr="00141099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  <w:r w:rsidRPr="00A26F81">
        <w:rPr>
          <w:rFonts w:ascii="Georgia" w:hAnsi="Georgia" w:cs="Arial"/>
          <w:sz w:val="20"/>
          <w:szCs w:val="22"/>
          <w:lang w:val="en-GB"/>
        </w:rPr>
        <w:t xml:space="preserve">Bauwens, T. (2021). Are the circular economy and economic growth compatible? A case for post-growth circularity. </w:t>
      </w:r>
      <w:r w:rsidRPr="00A26F81">
        <w:rPr>
          <w:rFonts w:ascii="Georgia" w:hAnsi="Georgia" w:cs="Arial"/>
          <w:i/>
          <w:sz w:val="20"/>
          <w:szCs w:val="22"/>
          <w:lang w:val="en-GB"/>
        </w:rPr>
        <w:t>Resources, Conservation and Recycling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, 175. </w:t>
      </w:r>
      <w:hyperlink r:id="rId8" w:history="1">
        <w:r w:rsidRPr="00141099">
          <w:rPr>
            <w:rStyle w:val="Hyperlink"/>
            <w:rFonts w:ascii="Georgia" w:hAnsi="Georgia" w:cs="Arial"/>
            <w:sz w:val="20"/>
            <w:szCs w:val="22"/>
            <w:lang w:val="en-GB"/>
          </w:rPr>
          <w:t>https://doi.org/10.1016/j.resconrec.2021.105852</w:t>
        </w:r>
      </w:hyperlink>
    </w:p>
    <w:p w14:paraId="68EF076B" w14:textId="77777777" w:rsidR="00A80764" w:rsidRPr="00141099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</w:p>
    <w:p w14:paraId="11B7A9ED" w14:textId="11902156" w:rsidR="00292C15" w:rsidRPr="00A26F81" w:rsidRDefault="00292C15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  <w:r w:rsidRPr="00A26F81">
        <w:rPr>
          <w:rFonts w:ascii="Georgia" w:hAnsi="Georgia" w:cs="Arial"/>
          <w:sz w:val="20"/>
          <w:szCs w:val="22"/>
          <w:lang w:val="nl-NL"/>
        </w:rPr>
        <w:t xml:space="preserve">Bocken, N., de Pauw, I., Bakker, C., &amp; van der Grinten, B. (2016). 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Product design and business model strategies for a circular economy. </w:t>
      </w:r>
      <w:r w:rsidRPr="00A26F81">
        <w:rPr>
          <w:rFonts w:ascii="Georgia" w:hAnsi="Georgia" w:cs="Arial"/>
          <w:i/>
          <w:sz w:val="20"/>
          <w:szCs w:val="22"/>
          <w:lang w:val="en-GB"/>
        </w:rPr>
        <w:t>Journal of Industrial and Production Engineering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, 33(5), 308-320. </w:t>
      </w:r>
      <w:hyperlink r:id="rId9" w:history="1">
        <w:r w:rsidRPr="00A26F81">
          <w:rPr>
            <w:rStyle w:val="Hyperlink"/>
            <w:rFonts w:ascii="Georgia" w:hAnsi="Georgia" w:cs="Arial"/>
            <w:sz w:val="20"/>
            <w:szCs w:val="22"/>
            <w:lang w:val="en-GB"/>
          </w:rPr>
          <w:t>https://doi.org/10.1080/21681015.2016.1172124</w:t>
        </w:r>
      </w:hyperlink>
    </w:p>
    <w:p w14:paraId="1074FE2F" w14:textId="77777777" w:rsidR="00292C15" w:rsidRPr="00A26F81" w:rsidRDefault="00292C15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</w:p>
    <w:p w14:paraId="38C48903" w14:textId="5BA7F732" w:rsidR="00292C15" w:rsidRPr="00A26F81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  <w:r w:rsidRPr="00A26F81">
        <w:rPr>
          <w:rFonts w:ascii="Georgia" w:hAnsi="Georgia" w:cs="Arial"/>
          <w:sz w:val="20"/>
          <w:szCs w:val="22"/>
          <w:lang w:val="en-GB"/>
        </w:rPr>
        <w:t xml:space="preserve">Bocken, N. M. P., Niessen, L., &amp; Short, S. W. (2022). The Sufficiency-Based Circular Economy—An Analysis of 150 Companies. </w:t>
      </w:r>
      <w:r w:rsidRPr="00A26F81">
        <w:rPr>
          <w:rFonts w:ascii="Georgia" w:hAnsi="Georgia" w:cs="Arial"/>
          <w:i/>
          <w:sz w:val="20"/>
          <w:szCs w:val="22"/>
          <w:lang w:val="en-GB"/>
        </w:rPr>
        <w:t>Frontiers in Sustainability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, 3. </w:t>
      </w:r>
      <w:hyperlink r:id="rId10" w:history="1">
        <w:r w:rsidRPr="00A26F81">
          <w:rPr>
            <w:rStyle w:val="Hyperlink"/>
            <w:rFonts w:ascii="Georgia" w:hAnsi="Georgia" w:cs="Arial"/>
            <w:sz w:val="20"/>
            <w:szCs w:val="22"/>
            <w:lang w:val="en-GB"/>
          </w:rPr>
          <w:t>https://doi.org/10.3389/frsus.2022.899289</w:t>
        </w:r>
      </w:hyperlink>
    </w:p>
    <w:p w14:paraId="3DB16E1A" w14:textId="77777777" w:rsidR="00A80764" w:rsidRPr="00A26F81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</w:p>
    <w:p w14:paraId="08533679" w14:textId="30117219" w:rsidR="00292C15" w:rsidRPr="00A26F81" w:rsidRDefault="00292C15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  <w:r w:rsidRPr="00A26F81">
        <w:rPr>
          <w:rFonts w:ascii="Georgia" w:hAnsi="Georgia" w:cs="Arial"/>
          <w:sz w:val="20"/>
          <w:szCs w:val="22"/>
          <w:lang w:val="en-GB"/>
        </w:rPr>
        <w:t xml:space="preserve">Geissdoerfer, M., Pieroni, M. P. P., Pigosso, D. C. A., &amp; Soufani, K. (2020). Circular business models: A review. </w:t>
      </w:r>
      <w:r w:rsidRPr="00A26F81">
        <w:rPr>
          <w:rFonts w:ascii="Georgia" w:hAnsi="Georgia" w:cs="Arial"/>
          <w:i/>
          <w:sz w:val="20"/>
          <w:szCs w:val="22"/>
          <w:lang w:val="en-GB"/>
        </w:rPr>
        <w:t>Journal of Cleaner Production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, 277. </w:t>
      </w:r>
      <w:hyperlink r:id="rId11" w:history="1">
        <w:r w:rsidRPr="00A26F81">
          <w:rPr>
            <w:rStyle w:val="Hyperlink"/>
            <w:rFonts w:ascii="Georgia" w:hAnsi="Georgia" w:cs="Arial"/>
            <w:sz w:val="20"/>
            <w:szCs w:val="22"/>
            <w:lang w:val="en-GB"/>
          </w:rPr>
          <w:t>https://doi.org/10.1016/j.jclepro.2020.123741</w:t>
        </w:r>
      </w:hyperlink>
    </w:p>
    <w:p w14:paraId="2852F510" w14:textId="77777777" w:rsidR="00A80764" w:rsidRPr="00A26F81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</w:p>
    <w:p w14:paraId="12262514" w14:textId="5C652A37" w:rsidR="00A80764" w:rsidRPr="00A26F81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  <w:r w:rsidRPr="00A26F81">
        <w:rPr>
          <w:rFonts w:ascii="Georgia" w:hAnsi="Georgia" w:cs="Arial"/>
          <w:sz w:val="20"/>
          <w:szCs w:val="22"/>
          <w:lang w:val="en-GB"/>
        </w:rPr>
        <w:t xml:space="preserve">Hofmann, F. (2019). Circular business models: Business approach as driver or obstructer of sustainability transitions? </w:t>
      </w:r>
      <w:r w:rsidRPr="00A26F81">
        <w:rPr>
          <w:rFonts w:ascii="Georgia" w:hAnsi="Georgia" w:cs="Arial"/>
          <w:i/>
          <w:sz w:val="20"/>
          <w:szCs w:val="22"/>
          <w:lang w:val="en-GB"/>
        </w:rPr>
        <w:t>Journal of Cleaner Production</w:t>
      </w:r>
      <w:r w:rsidRPr="00A26F81">
        <w:rPr>
          <w:rFonts w:ascii="Georgia" w:hAnsi="Georgia" w:cs="Arial"/>
          <w:sz w:val="20"/>
          <w:szCs w:val="22"/>
          <w:lang w:val="en-GB"/>
        </w:rPr>
        <w:t>, 224, 361-374. https://doi.org/10.1016/j.jclepro.2019.03.115</w:t>
      </w:r>
    </w:p>
    <w:p w14:paraId="75E8E99A" w14:textId="77777777" w:rsidR="00292C15" w:rsidRPr="00A26F81" w:rsidRDefault="00292C15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</w:p>
    <w:p w14:paraId="3C06E701" w14:textId="16BB06DB" w:rsidR="00A80764" w:rsidRPr="00A26F81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  <w:r w:rsidRPr="00141099">
        <w:rPr>
          <w:rFonts w:ascii="Georgia" w:hAnsi="Georgia" w:cs="Arial"/>
          <w:sz w:val="20"/>
          <w:szCs w:val="22"/>
          <w:lang w:val="nl-NL"/>
        </w:rPr>
        <w:t xml:space="preserve">Konietzko, J., Bocken, N., &amp; Hultink, E. J. (2020). 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Circular ecosystem innovation: An initial set of principles. </w:t>
      </w:r>
      <w:r w:rsidRPr="00A26F81">
        <w:rPr>
          <w:rFonts w:ascii="Georgia" w:hAnsi="Georgia" w:cs="Arial"/>
          <w:i/>
          <w:sz w:val="20"/>
          <w:szCs w:val="22"/>
          <w:lang w:val="en-GB"/>
        </w:rPr>
        <w:t>Journal of Cleaner Production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, 253, Article 119942. </w:t>
      </w:r>
      <w:hyperlink r:id="rId12" w:history="1">
        <w:r w:rsidRPr="00A26F81">
          <w:rPr>
            <w:rStyle w:val="Hyperlink"/>
            <w:rFonts w:ascii="Georgia" w:hAnsi="Georgia" w:cs="Arial"/>
            <w:sz w:val="20"/>
            <w:szCs w:val="22"/>
            <w:lang w:val="en-GB"/>
          </w:rPr>
          <w:t>https://doi.org/10.1016/j.jclepro.2019.119942</w:t>
        </w:r>
      </w:hyperlink>
    </w:p>
    <w:p w14:paraId="4DC9D2CB" w14:textId="77777777" w:rsidR="00A80764" w:rsidRPr="00A26F81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</w:p>
    <w:p w14:paraId="22F72DCE" w14:textId="290DE31F" w:rsidR="00A80764" w:rsidRPr="00A26F81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  <w:r w:rsidRPr="00A26F81">
        <w:rPr>
          <w:rFonts w:ascii="Georgia" w:hAnsi="Georgia" w:cs="Arial"/>
          <w:sz w:val="20"/>
          <w:szCs w:val="22"/>
          <w:lang w:val="de-DE"/>
        </w:rPr>
        <w:t xml:space="preserve">Luedeke-Freund, F., Gold, S., &amp; Bocken, N. M. P. (2019). 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A Review and Typology of Circular Economy Business Model Patterns. </w:t>
      </w:r>
      <w:r w:rsidRPr="00A26F81">
        <w:rPr>
          <w:rFonts w:ascii="Georgia" w:hAnsi="Georgia" w:cs="Arial"/>
          <w:i/>
          <w:sz w:val="20"/>
          <w:szCs w:val="22"/>
          <w:lang w:val="en-GB"/>
        </w:rPr>
        <w:t>Journal of Industrial Ecology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, 23(1), 36-61. </w:t>
      </w:r>
      <w:hyperlink r:id="rId13" w:history="1">
        <w:r w:rsidRPr="00A26F81">
          <w:rPr>
            <w:rStyle w:val="Hyperlink"/>
            <w:rFonts w:ascii="Georgia" w:hAnsi="Georgia" w:cs="Arial"/>
            <w:sz w:val="20"/>
            <w:szCs w:val="22"/>
            <w:lang w:val="en-GB"/>
          </w:rPr>
          <w:t>https://doi.org/10.1111/jiec.12763</w:t>
        </w:r>
      </w:hyperlink>
    </w:p>
    <w:p w14:paraId="4DC4560B" w14:textId="755FAD9C" w:rsidR="00A80764" w:rsidRPr="00A26F81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</w:p>
    <w:p w14:paraId="67C19806" w14:textId="1D221874" w:rsidR="00233AC9" w:rsidRPr="00A26F81" w:rsidRDefault="00A80764" w:rsidP="00A26F81">
      <w:pPr>
        <w:pStyle w:val="Default"/>
        <w:jc w:val="both"/>
        <w:rPr>
          <w:rFonts w:ascii="Georgia" w:hAnsi="Georgia" w:cs="Arial"/>
          <w:sz w:val="20"/>
          <w:szCs w:val="22"/>
          <w:lang w:val="en-GB"/>
        </w:rPr>
      </w:pPr>
      <w:r w:rsidRPr="00A26F81">
        <w:rPr>
          <w:rFonts w:ascii="Georgia" w:hAnsi="Georgia" w:cs="Arial"/>
          <w:sz w:val="20"/>
          <w:szCs w:val="22"/>
          <w:lang w:val="en-GB"/>
        </w:rPr>
        <w:t xml:space="preserve">Velenturf, A. P. M., &amp; Purnell, P. (2021). Principles for a sustainable circular economy. </w:t>
      </w:r>
      <w:r w:rsidRPr="00A26F81">
        <w:rPr>
          <w:rFonts w:ascii="Georgia" w:hAnsi="Georgia" w:cs="Arial"/>
          <w:i/>
          <w:sz w:val="20"/>
          <w:szCs w:val="22"/>
          <w:lang w:val="en-GB"/>
        </w:rPr>
        <w:t>Sustainable Production and Consumption</w:t>
      </w:r>
      <w:r w:rsidRPr="00A26F81">
        <w:rPr>
          <w:rFonts w:ascii="Georgia" w:hAnsi="Georgia" w:cs="Arial"/>
          <w:sz w:val="20"/>
          <w:szCs w:val="22"/>
          <w:lang w:val="en-GB"/>
        </w:rPr>
        <w:t xml:space="preserve">, 27, 1437-1457. </w:t>
      </w:r>
      <w:hyperlink r:id="rId14" w:history="1">
        <w:r w:rsidRPr="00A26F81">
          <w:rPr>
            <w:rStyle w:val="Hyperlink"/>
            <w:rFonts w:ascii="Georgia" w:hAnsi="Georgia" w:cs="Arial"/>
            <w:sz w:val="20"/>
            <w:szCs w:val="22"/>
            <w:lang w:val="en-GB"/>
          </w:rPr>
          <w:t>https://doi.org/10.1016/j.spc.2021.02.018</w:t>
        </w:r>
      </w:hyperlink>
      <w:r w:rsidRPr="00A26F81">
        <w:rPr>
          <w:rFonts w:ascii="Georgia" w:hAnsi="Georgia" w:cs="Arial"/>
          <w:sz w:val="20"/>
          <w:szCs w:val="22"/>
          <w:lang w:val="en-GB"/>
        </w:rPr>
        <w:t xml:space="preserve"> </w:t>
      </w:r>
    </w:p>
    <w:p w14:paraId="1A7C7103" w14:textId="77777777" w:rsidR="00201F97" w:rsidRPr="00A86DF7" w:rsidRDefault="00201F97" w:rsidP="00A26F81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5FB4508F" w14:textId="77777777" w:rsidR="00201F97" w:rsidRPr="00A86DF7" w:rsidRDefault="00201F97" w:rsidP="00201F97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1BEB5237" w14:textId="39808331" w:rsidR="00540431" w:rsidRPr="00641444" w:rsidRDefault="00540431" w:rsidP="00540431">
      <w:pPr>
        <w:pStyle w:val="Default"/>
        <w:pBdr>
          <w:top w:val="single" w:sz="4" w:space="1" w:color="auto"/>
        </w:pBdr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The deadline for submissions is </w:t>
      </w:r>
      <w:r>
        <w:rPr>
          <w:rFonts w:ascii="Georgia" w:hAnsi="Georgia" w:cs="Arial"/>
          <w:b/>
          <w:sz w:val="22"/>
          <w:szCs w:val="22"/>
          <w:lang w:val="en-US"/>
        </w:rPr>
        <w:t>1 Ju</w:t>
      </w:r>
      <w:r w:rsidR="00CC0E85">
        <w:rPr>
          <w:rFonts w:ascii="Georgia" w:hAnsi="Georgia" w:cs="Arial"/>
          <w:b/>
          <w:sz w:val="22"/>
          <w:szCs w:val="22"/>
          <w:lang w:val="en-US"/>
        </w:rPr>
        <w:t>ly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, 202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2DBDDA67" w14:textId="77777777" w:rsidR="00540431" w:rsidRPr="00641444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r w:rsidRPr="00641444">
        <w:rPr>
          <w:rFonts w:ascii="Georgia" w:hAnsi="Georgia" w:cs="Arial"/>
          <w:sz w:val="22"/>
          <w:szCs w:val="22"/>
          <w:lang w:val="en-US"/>
        </w:rPr>
        <w:t xml:space="preserve">All submissions must use the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submission template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and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use the submission procedure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on the webpage otherwise they will not be considered for review. </w:t>
      </w:r>
    </w:p>
    <w:p w14:paraId="677073C3" w14:textId="66ECCA9D" w:rsidR="00540431" w:rsidRDefault="009401AE" w:rsidP="00540431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hyperlink r:id="rId15" w:history="1">
        <w:r w:rsidR="00540431" w:rsidRPr="00A80764">
          <w:rPr>
            <w:rStyle w:val="Hyperlink"/>
            <w:rFonts w:ascii="Georgia" w:hAnsi="Georgia" w:cs="Arial"/>
            <w:b/>
            <w:sz w:val="22"/>
            <w:szCs w:val="22"/>
            <w:lang w:val="en-US"/>
          </w:rPr>
          <w:t>Submit your paper here</w:t>
        </w:r>
      </w:hyperlink>
      <w:r w:rsidR="00540431" w:rsidRPr="005A34F7">
        <w:rPr>
          <w:rFonts w:ascii="Georgia" w:hAnsi="Georgia" w:cs="Arial"/>
          <w:sz w:val="22"/>
          <w:szCs w:val="22"/>
          <w:lang w:val="en-US"/>
        </w:rPr>
        <w:t>.</w:t>
      </w:r>
    </w:p>
    <w:p w14:paraId="6015F194" w14:textId="77777777" w:rsidR="00540431" w:rsidRPr="005A34F7" w:rsidRDefault="00540431" w:rsidP="00540431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</w:p>
    <w:p w14:paraId="44E1B0A1" w14:textId="4DF670AB" w:rsidR="00540431" w:rsidRPr="00641444" w:rsidRDefault="00540431" w:rsidP="00540431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lastRenderedPageBreak/>
        <w:t xml:space="preserve">The registration for the </w:t>
      </w:r>
      <w:r w:rsidR="005E68CD">
        <w:rPr>
          <w:rFonts w:ascii="Georgia" w:hAnsi="Georgia" w:cs="Arial"/>
          <w:b/>
          <w:sz w:val="22"/>
          <w:szCs w:val="22"/>
          <w:lang w:val="en-US"/>
        </w:rPr>
        <w:t>MORSE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 202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 will be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open </w:t>
      </w:r>
      <w:r w:rsidRPr="005A34F7">
        <w:rPr>
          <w:rFonts w:ascii="Georgia" w:hAnsi="Georgia" w:cs="Arial"/>
          <w:b/>
          <w:sz w:val="22"/>
          <w:szCs w:val="22"/>
          <w:lang w:val="en-US"/>
        </w:rPr>
        <w:t>until 31st August</w:t>
      </w:r>
      <w:r>
        <w:rPr>
          <w:rFonts w:ascii="Georgia" w:hAnsi="Georgia" w:cs="Arial"/>
          <w:b/>
          <w:sz w:val="22"/>
          <w:szCs w:val="22"/>
          <w:lang w:val="en-US"/>
        </w:rPr>
        <w:t>,</w:t>
      </w:r>
      <w:r w:rsidRPr="005A34F7">
        <w:rPr>
          <w:rFonts w:ascii="Georgia" w:hAnsi="Georgia" w:cs="Arial"/>
          <w:b/>
          <w:sz w:val="22"/>
          <w:szCs w:val="22"/>
          <w:lang w:val="en-US"/>
        </w:rPr>
        <w:t xml:space="preserve"> 20</w:t>
      </w:r>
      <w:r>
        <w:rPr>
          <w:rFonts w:ascii="Georgia" w:hAnsi="Georgia" w:cs="Arial"/>
          <w:b/>
          <w:sz w:val="22"/>
          <w:szCs w:val="22"/>
          <w:lang w:val="en-US"/>
        </w:rPr>
        <w:t>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5CB00625" w14:textId="438FC6F1" w:rsidR="00201F97" w:rsidRPr="00201F97" w:rsidRDefault="009401AE" w:rsidP="00540431">
      <w:pPr>
        <w:pStyle w:val="Default"/>
        <w:jc w:val="both"/>
        <w:rPr>
          <w:lang w:val="en-US"/>
        </w:rPr>
      </w:pPr>
      <w:hyperlink r:id="rId16" w:history="1">
        <w:r w:rsidR="00540431" w:rsidRPr="00A80764">
          <w:rPr>
            <w:rStyle w:val="Hyperlink"/>
            <w:rFonts w:ascii="Georgia" w:hAnsi="Georgia" w:cs="Arial"/>
            <w:b/>
            <w:sz w:val="22"/>
            <w:szCs w:val="22"/>
            <w:lang w:val="en-US"/>
          </w:rPr>
          <w:t>Register here</w:t>
        </w:r>
      </w:hyperlink>
      <w:r w:rsidR="00540431" w:rsidRPr="005A34F7">
        <w:rPr>
          <w:rFonts w:ascii="Georgia" w:hAnsi="Georgia" w:cs="Arial"/>
          <w:b/>
          <w:sz w:val="22"/>
          <w:szCs w:val="22"/>
          <w:lang w:val="en-GB"/>
        </w:rPr>
        <w:t>.</w:t>
      </w:r>
    </w:p>
    <w:sectPr w:rsidR="00201F97" w:rsidRPr="00201F97" w:rsidSect="00201F97">
      <w:footerReference w:type="default" r:id="rId17"/>
      <w:pgSz w:w="11906" w:h="16838"/>
      <w:pgMar w:top="568" w:right="991" w:bottom="1134" w:left="993" w:header="708" w:footer="26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D199B" w16cex:dateUtc="2023-04-21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650B5A" w16cid:durableId="27ED19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C4EF" w14:textId="77777777" w:rsidR="002B77B3" w:rsidRDefault="002B77B3" w:rsidP="00201F97">
      <w:pPr>
        <w:spacing w:after="0" w:line="240" w:lineRule="auto"/>
      </w:pPr>
      <w:r>
        <w:separator/>
      </w:r>
    </w:p>
  </w:endnote>
  <w:endnote w:type="continuationSeparator" w:id="0">
    <w:p w14:paraId="3A329C7B" w14:textId="77777777" w:rsidR="002B77B3" w:rsidRDefault="002B77B3" w:rsidP="0020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Next LT W1G">
    <w:altName w:val="Corbe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Commercial LT Light">
    <w:altName w:val="Calibri"/>
    <w:charset w:val="00"/>
    <w:family w:val="auto"/>
    <w:pitch w:val="variable"/>
    <w:sig w:usb0="8000000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BF3A" w14:textId="1064673C" w:rsidR="00201F97" w:rsidRPr="00C23716" w:rsidRDefault="00C23716" w:rsidP="00C23716">
    <w:pPr>
      <w:pStyle w:val="Footer"/>
    </w:pPr>
    <w:r w:rsidRPr="00B7000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DF5D7DE" wp14:editId="19C49ABD">
          <wp:simplePos x="0" y="0"/>
          <wp:positionH relativeFrom="margin">
            <wp:posOffset>-462038</wp:posOffset>
          </wp:positionH>
          <wp:positionV relativeFrom="paragraph">
            <wp:posOffset>-268726</wp:posOffset>
          </wp:positionV>
          <wp:extent cx="1630680" cy="417830"/>
          <wp:effectExtent l="0" t="0" r="7620" b="1270"/>
          <wp:wrapNone/>
          <wp:docPr id="61" name="Grafik 61" descr="https://logos-download.com/wp-content/uploads/2017/11/Maastrich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s-download.com/wp-content/uploads/2017/11/Maastricht_Univers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A5D02" w14:textId="77777777" w:rsidR="002B77B3" w:rsidRDefault="002B77B3" w:rsidP="00201F97">
      <w:pPr>
        <w:spacing w:after="0" w:line="240" w:lineRule="auto"/>
      </w:pPr>
      <w:r>
        <w:separator/>
      </w:r>
    </w:p>
  </w:footnote>
  <w:footnote w:type="continuationSeparator" w:id="0">
    <w:p w14:paraId="09F37E81" w14:textId="77777777" w:rsidR="002B77B3" w:rsidRDefault="002B77B3" w:rsidP="0020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1912"/>
    <w:multiLevelType w:val="hybridMultilevel"/>
    <w:tmpl w:val="0F9E7D60"/>
    <w:lvl w:ilvl="0" w:tplc="846237B6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A1581"/>
    <w:multiLevelType w:val="hybridMultilevel"/>
    <w:tmpl w:val="53EE44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305FA"/>
    <w:multiLevelType w:val="hybridMultilevel"/>
    <w:tmpl w:val="07C6760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97"/>
    <w:rsid w:val="0000502F"/>
    <w:rsid w:val="00044273"/>
    <w:rsid w:val="00087C18"/>
    <w:rsid w:val="001262A7"/>
    <w:rsid w:val="00141099"/>
    <w:rsid w:val="001F47C6"/>
    <w:rsid w:val="0020044B"/>
    <w:rsid w:val="00201F97"/>
    <w:rsid w:val="00224742"/>
    <w:rsid w:val="00230084"/>
    <w:rsid w:val="00233AC9"/>
    <w:rsid w:val="0025425B"/>
    <w:rsid w:val="00292C15"/>
    <w:rsid w:val="00294725"/>
    <w:rsid w:val="002B77B3"/>
    <w:rsid w:val="00300372"/>
    <w:rsid w:val="00496F37"/>
    <w:rsid w:val="00540431"/>
    <w:rsid w:val="005E619F"/>
    <w:rsid w:val="005E68CD"/>
    <w:rsid w:val="005F2428"/>
    <w:rsid w:val="006E7649"/>
    <w:rsid w:val="006E7F54"/>
    <w:rsid w:val="006F7B35"/>
    <w:rsid w:val="00710759"/>
    <w:rsid w:val="0077035F"/>
    <w:rsid w:val="007A6963"/>
    <w:rsid w:val="008B1B82"/>
    <w:rsid w:val="008C6CC1"/>
    <w:rsid w:val="009401AE"/>
    <w:rsid w:val="00953D56"/>
    <w:rsid w:val="00957088"/>
    <w:rsid w:val="009A6BDE"/>
    <w:rsid w:val="00A26F81"/>
    <w:rsid w:val="00A80764"/>
    <w:rsid w:val="00A86DF7"/>
    <w:rsid w:val="00AF7E78"/>
    <w:rsid w:val="00C06CE7"/>
    <w:rsid w:val="00C23716"/>
    <w:rsid w:val="00CB59AA"/>
    <w:rsid w:val="00CC0E85"/>
    <w:rsid w:val="00D76165"/>
    <w:rsid w:val="00E635FD"/>
    <w:rsid w:val="00E92505"/>
    <w:rsid w:val="00EC250F"/>
    <w:rsid w:val="00F90219"/>
    <w:rsid w:val="00FB6816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4224C"/>
  <w15:chartTrackingRefBased/>
  <w15:docId w15:val="{875EFD9B-99DB-4217-86A3-894C107F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97"/>
  </w:style>
  <w:style w:type="paragraph" w:styleId="Footer">
    <w:name w:val="footer"/>
    <w:basedOn w:val="Normal"/>
    <w:link w:val="FooterChar"/>
    <w:uiPriority w:val="99"/>
    <w:unhideWhenUsed/>
    <w:rsid w:val="002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97"/>
  </w:style>
  <w:style w:type="paragraph" w:customStyle="1" w:styleId="Default">
    <w:name w:val="Default"/>
    <w:rsid w:val="00201F97"/>
    <w:pPr>
      <w:autoSpaceDE w:val="0"/>
      <w:autoSpaceDN w:val="0"/>
      <w:adjustRightInd w:val="0"/>
      <w:spacing w:after="0" w:line="240" w:lineRule="auto"/>
    </w:pPr>
    <w:rPr>
      <w:rFonts w:ascii="BasicCommercial LT Light" w:hAnsi="BasicCommercial LT Light" w:cs="BasicCommercial LT Light"/>
      <w:color w:val="000000"/>
      <w:sz w:val="24"/>
      <w:szCs w:val="24"/>
    </w:rPr>
  </w:style>
  <w:style w:type="character" w:styleId="Hyperlink">
    <w:name w:val="Hyperlink"/>
    <w:rsid w:val="00201F9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DF7"/>
    <w:rPr>
      <w:i/>
      <w:iCs/>
    </w:rPr>
  </w:style>
  <w:style w:type="paragraph" w:styleId="ListParagraph">
    <w:name w:val="List Paragraph"/>
    <w:basedOn w:val="Normal"/>
    <w:uiPriority w:val="34"/>
    <w:qFormat/>
    <w:rsid w:val="00E635F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04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0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4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1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resconrec.2021.105852" TargetMode="External"/><Relationship Id="rId13" Type="http://schemas.openxmlformats.org/officeDocument/2006/relationships/hyperlink" Target="https://doi.org/10.1111/jiec.127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j.jclepro.2019.11994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aastrichtuniversity.nl/events/morse-conference" TargetMode="Externa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clepro.2020.12374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rse-sbe@maastrichtuniversity.nl" TargetMode="External"/><Relationship Id="rId10" Type="http://schemas.openxmlformats.org/officeDocument/2006/relationships/hyperlink" Target="https://doi.org/10.3389/frsus.2022.8992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21681015.2016.1172124" TargetMode="External"/><Relationship Id="rId14" Type="http://schemas.openxmlformats.org/officeDocument/2006/relationships/hyperlink" Target="https://doi.org/10.1016/j.spc.2021.02.01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FHGR Chur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Rainalter Jeanine</dc:creator>
  <cp:keywords/>
  <dc:description/>
  <cp:lastModifiedBy>Menegatto, Veronica (EFB)</cp:lastModifiedBy>
  <cp:revision>2</cp:revision>
  <dcterms:created xsi:type="dcterms:W3CDTF">2023-05-04T11:37:00Z</dcterms:created>
  <dcterms:modified xsi:type="dcterms:W3CDTF">2023-05-04T11:37:00Z</dcterms:modified>
</cp:coreProperties>
</file>